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C0" w:rsidRDefault="004B35C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JHEQ術後の患者不満足度に関与する因子の検討</w:t>
      </w:r>
    </w:p>
    <w:p w:rsidR="004B35C0" w:rsidRDefault="004B35C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</w:p>
    <w:p w:rsidR="004B35C0" w:rsidRDefault="004B35C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富山大学整形外科　今西理恵子、松下功、元村拓、平岩利仁、木村友厚</w:t>
      </w:r>
    </w:p>
    <w:p w:rsidR="004B35C0" w:rsidRDefault="004B35C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</w:p>
    <w:p w:rsidR="004B35C0" w:rsidRDefault="004B35C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</w:p>
    <w:p w:rsidR="00A22535" w:rsidRPr="00A22535" w:rsidRDefault="00A22535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</w:pP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【はじめに】人工股関節置換術（以下THA)術後に、股関節に不満を訴える患者に遭遇することがある。術前評価にて動作が悪い患者やBMIが高値の患者では、術後評価が低いことは報告されている。日本整形外科学会股関節評価質問票（以下</w:t>
      </w:r>
      <w:r w:rsidRPr="00A22535"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  <w:t>JHEQ</w:t>
      </w: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）は、</w:t>
      </w:r>
      <w:r w:rsidRPr="00A22535"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  <w:t>2012</w:t>
      </w: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年に作成された患者立脚型評価法であり、股関節の状態を</w:t>
      </w:r>
      <w:r w:rsidRPr="00A22535"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  <w:t>VAS</w:t>
      </w: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で表すことで、患者の不満足度を評価することができる。</w:t>
      </w:r>
    </w:p>
    <w:p w:rsidR="001513F8" w:rsidRDefault="00A22535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【目的】</w:t>
      </w:r>
      <w:r w:rsidRPr="00A22535">
        <w:rPr>
          <w:rFonts w:asciiTheme="majorEastAsia" w:eastAsiaTheme="majorEastAsia" w:hAnsiTheme="majorEastAsia" w:cstheme="minorBidi"/>
          <w:color w:val="000000" w:themeColor="text1"/>
          <w:kern w:val="24"/>
          <w:sz w:val="20"/>
          <w:szCs w:val="48"/>
        </w:rPr>
        <w:t>THA</w:t>
      </w:r>
      <w:r w:rsidRPr="00A2253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0"/>
          <w:szCs w:val="48"/>
        </w:rPr>
        <w:t>術後での患者不満足度に関与する因子を検討することと、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術後の患者満足度を規定する術前因子の有無を検討するこ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とである。</w:t>
      </w:r>
    </w:p>
    <w:p w:rsidR="00A22535" w:rsidRDefault="00A22535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【対象と方法】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2012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年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12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月から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2017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年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6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月の期間に当院にて人工股関節置換術（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THA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）を施行した患者のうち、大腿骨短縮骨切り術を追加した例、再置換術例、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年以内に両側とも手術を施行した例、評価に不備のあった例を除外した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58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例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58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関節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と対象とした。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術後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時点での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股関節の不満足度をあらわす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、股関節の状態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VAS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が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10mm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以下の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47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例を満足群、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10mm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を超える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11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例を不満足群として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2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群間での比較を行った。検討項目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は、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JHEQ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とJOAスコアを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術前、術後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1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に調査し、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満足群と不満足群のそれぞれの項目を比較検討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し、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不満足に関連する因子を検討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した。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検定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J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MP13.0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を用い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2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群間での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JHEQ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JOA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スコアに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Wilcoxon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順位</w:t>
      </w:r>
      <w:r w:rsidR="00264459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和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検定を行った。術前因子には重回帰分析を行い、</w:t>
      </w:r>
      <w:r w:rsidR="00264459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各検定の</w:t>
      </w:r>
      <w:r w:rsidRPr="00A225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有意差は</w:t>
      </w:r>
      <w:r w:rsidRPr="00A22535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5%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未満とした。</w:t>
      </w:r>
    </w:p>
    <w:p w:rsidR="00A22535" w:rsidRDefault="00A22535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【結果】満足群は47例（男性6例、女性41例）不満足群は11例（男性3例、女性8例）であった。平均年齢はそれぞれ63.1</w:t>
      </w:r>
      <w:r w:rsidR="00FA08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±11.8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歳、66.7</w:t>
      </w:r>
      <w:r w:rsidR="00FA08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±13.8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歳（p=0.26）、平均BMIは24.1</w:t>
      </w:r>
      <w:r w:rsidR="00FA08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±4.5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、25.4</w:t>
      </w:r>
      <w:r w:rsidR="00FA08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±1.5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kg/m²（p=0．45）</w:t>
      </w:r>
      <w:r w:rsidR="00FA0835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。原疾患は、満足群でOA35例、RA4例、骨頭壊死5例、その他3例、不満足群でOA11例であった（p=0.12）。手術日から退院までの平均日数は、満足群22.6±5.0日、不満足群23.4±5.7日（p＝0.65）、股関節の状態VASの術前中央値（中央値（25%-75%））はそれぞれ92（71-100）mm、88（81-98）mm（p=0.70）、術後1年中央値は0（0-2）mm、22（15-51）mm（p&lt;0.0001）だった。</w:t>
      </w:r>
    </w:p>
    <w:p w:rsidR="00FA0835" w:rsidRDefault="00FA0835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 xml:space="preserve">　JHEQでは、術前痛み</w:t>
      </w:r>
      <w:r w:rsidR="000D2A31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中央値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は満足群で中央値6点、不満足群で6点（N.S</w:t>
      </w:r>
      <w:r w:rsidR="000D2A31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.</w:t>
      </w:r>
      <w:r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、動作ではそれぞれ4点、2点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（N.S.</w:t>
      </w:r>
      <w:r w:rsid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、メンタルはそれぞれ8点、3点（p＜</w:t>
      </w:r>
      <w:r w:rsidR="000D2A31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0.05）とメンタルで有意差を認めた。術後1年では、痛みはそれぞれ28点、19点（p＜0.05）、動作は16点、8点（p＜0.05）、メンタルは24点、15点（p＜0.05）とすべての尺度で有意差を認めた。</w:t>
      </w:r>
    </w:p>
    <w:p w:rsidR="000D2A31" w:rsidRDefault="000D2A31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 xml:space="preserve">　JOAスコアでは、術前疼痛中央値は満足群で10点、不満足群で10点（N.S.</w:t>
      </w:r>
      <w:r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、可動域はそれぞれ14点、15点</w:t>
      </w:r>
      <w:r w:rsidR="003343B0" w:rsidRP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（N.S.</w:t>
      </w:r>
      <w:r w:rsidR="003343B0" w:rsidRP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、歩行能力は5点、5点（N.S.</w:t>
      </w:r>
      <w:r w:rsid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日常生活動作は12点、10点（N.S.</w:t>
      </w:r>
      <w:r w:rsid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であった。術後1年での疼痛中央値は満足群で40点、不満足群で40点（N.S.</w:t>
      </w:r>
      <w:r w:rsid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、可動域は19点、18点（N.S.</w:t>
      </w:r>
      <w:r w:rsidR="003343B0"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  <w:t>）</w:t>
      </w:r>
      <w:r w:rsidR="003343B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、歩行能力は15点、10点（p＜0.05）、日常生活動作は18点、14点（p＜0.05）であった。</w:t>
      </w:r>
    </w:p>
    <w:p w:rsidR="00571376" w:rsidRDefault="003343B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 xml:space="preserve">　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重回帰分析では、術前メンタル</w:t>
      </w:r>
      <w:r w:rsidR="00064F9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のみ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が</w:t>
      </w:r>
      <w:r w:rsidR="00064F9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有意な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独立変数</w:t>
      </w:r>
      <w:r w:rsidR="00064F9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であった（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R</w:t>
      </w:r>
      <w:r w:rsidR="00064F9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²=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0.067</w:t>
      </w:r>
      <w:r w:rsidR="00064F90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）</w:t>
      </w:r>
      <w:r w:rsidR="00571376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。</w:t>
      </w:r>
    </w:p>
    <w:p w:rsidR="00064F90" w:rsidRPr="00064F90" w:rsidRDefault="00064F90" w:rsidP="00A2253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kern w:val="24"/>
          <w:sz w:val="20"/>
          <w:szCs w:val="48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lastRenderedPageBreak/>
        <w:t>【考察】</w:t>
      </w:r>
      <w:r w:rsidR="00F62763">
        <w:rPr>
          <w:rFonts w:asciiTheme="majorEastAsia" w:eastAsiaTheme="majorEastAsia" w:hAnsiTheme="majorEastAsia" w:hint="eastAsia"/>
          <w:color w:val="000000" w:themeColor="text1"/>
          <w:kern w:val="24"/>
          <w:sz w:val="20"/>
          <w:szCs w:val="48"/>
        </w:rPr>
        <w:t>術後の満足度を指摘する因子は術前JHEQメンタルのみであった。重回帰分析ではR²値は0.067と小さいため、規定因子としては弱いと考えられた。JHEQメンタルは、不安症などの精神疾患の影響を受けやすいと考えられ、他の因子を検討する必要がある。</w:t>
      </w:r>
    </w:p>
    <w:sectPr w:rsidR="00064F90" w:rsidRPr="00064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35"/>
    <w:rsid w:val="000007D2"/>
    <w:rsid w:val="0000191A"/>
    <w:rsid w:val="00003CD1"/>
    <w:rsid w:val="00011865"/>
    <w:rsid w:val="00031E11"/>
    <w:rsid w:val="000347CF"/>
    <w:rsid w:val="00064F90"/>
    <w:rsid w:val="00067A09"/>
    <w:rsid w:val="00073045"/>
    <w:rsid w:val="00077351"/>
    <w:rsid w:val="000846A3"/>
    <w:rsid w:val="00086576"/>
    <w:rsid w:val="00090CE3"/>
    <w:rsid w:val="0009320E"/>
    <w:rsid w:val="000A317E"/>
    <w:rsid w:val="000A7612"/>
    <w:rsid w:val="000B2D18"/>
    <w:rsid w:val="000D2A31"/>
    <w:rsid w:val="000E3A09"/>
    <w:rsid w:val="000E5311"/>
    <w:rsid w:val="000F053B"/>
    <w:rsid w:val="000F3706"/>
    <w:rsid w:val="000F54BB"/>
    <w:rsid w:val="001056B9"/>
    <w:rsid w:val="00105CBC"/>
    <w:rsid w:val="00111FF6"/>
    <w:rsid w:val="00131DE8"/>
    <w:rsid w:val="001378AD"/>
    <w:rsid w:val="00144112"/>
    <w:rsid w:val="001513F8"/>
    <w:rsid w:val="00152DFD"/>
    <w:rsid w:val="001668C5"/>
    <w:rsid w:val="001773A8"/>
    <w:rsid w:val="00177786"/>
    <w:rsid w:val="001854A5"/>
    <w:rsid w:val="00185ADB"/>
    <w:rsid w:val="001978DA"/>
    <w:rsid w:val="0019798B"/>
    <w:rsid w:val="001979E9"/>
    <w:rsid w:val="001A2207"/>
    <w:rsid w:val="001A4703"/>
    <w:rsid w:val="001B75C4"/>
    <w:rsid w:val="001B7A8B"/>
    <w:rsid w:val="001D2039"/>
    <w:rsid w:val="001E16F7"/>
    <w:rsid w:val="001E3197"/>
    <w:rsid w:val="001E46AB"/>
    <w:rsid w:val="001F0C3C"/>
    <w:rsid w:val="001F4635"/>
    <w:rsid w:val="00203972"/>
    <w:rsid w:val="002047C3"/>
    <w:rsid w:val="00207A58"/>
    <w:rsid w:val="002103C3"/>
    <w:rsid w:val="002162D3"/>
    <w:rsid w:val="002261BA"/>
    <w:rsid w:val="00231A76"/>
    <w:rsid w:val="0023327B"/>
    <w:rsid w:val="00235E0D"/>
    <w:rsid w:val="00236B1D"/>
    <w:rsid w:val="00244861"/>
    <w:rsid w:val="0024597C"/>
    <w:rsid w:val="002513C3"/>
    <w:rsid w:val="00254761"/>
    <w:rsid w:val="002629E2"/>
    <w:rsid w:val="00264459"/>
    <w:rsid w:val="00267C89"/>
    <w:rsid w:val="00273400"/>
    <w:rsid w:val="00286EFD"/>
    <w:rsid w:val="002972EF"/>
    <w:rsid w:val="00297B0A"/>
    <w:rsid w:val="002A0BA2"/>
    <w:rsid w:val="002A1805"/>
    <w:rsid w:val="002A77E7"/>
    <w:rsid w:val="002B010A"/>
    <w:rsid w:val="002B1CD7"/>
    <w:rsid w:val="002B28D3"/>
    <w:rsid w:val="002B35A3"/>
    <w:rsid w:val="002B382A"/>
    <w:rsid w:val="002C2954"/>
    <w:rsid w:val="002D2A1A"/>
    <w:rsid w:val="002E4286"/>
    <w:rsid w:val="002E4F8C"/>
    <w:rsid w:val="002F00E6"/>
    <w:rsid w:val="002F45C1"/>
    <w:rsid w:val="002F6149"/>
    <w:rsid w:val="002F6344"/>
    <w:rsid w:val="00302193"/>
    <w:rsid w:val="00312591"/>
    <w:rsid w:val="00316945"/>
    <w:rsid w:val="00323276"/>
    <w:rsid w:val="0032327A"/>
    <w:rsid w:val="00323F70"/>
    <w:rsid w:val="00324CD9"/>
    <w:rsid w:val="00326D24"/>
    <w:rsid w:val="00331587"/>
    <w:rsid w:val="003343B0"/>
    <w:rsid w:val="00334A04"/>
    <w:rsid w:val="003400D6"/>
    <w:rsid w:val="0035234B"/>
    <w:rsid w:val="003540E7"/>
    <w:rsid w:val="00354EB6"/>
    <w:rsid w:val="003576FF"/>
    <w:rsid w:val="00357E0E"/>
    <w:rsid w:val="0036526A"/>
    <w:rsid w:val="00384840"/>
    <w:rsid w:val="00384C0E"/>
    <w:rsid w:val="00394DC4"/>
    <w:rsid w:val="003A338A"/>
    <w:rsid w:val="003A3662"/>
    <w:rsid w:val="003B7630"/>
    <w:rsid w:val="003C528D"/>
    <w:rsid w:val="003C6FD8"/>
    <w:rsid w:val="003D21F5"/>
    <w:rsid w:val="003D2F48"/>
    <w:rsid w:val="003D4B90"/>
    <w:rsid w:val="003E2A6A"/>
    <w:rsid w:val="003F4883"/>
    <w:rsid w:val="003F7F66"/>
    <w:rsid w:val="00413E46"/>
    <w:rsid w:val="00416D13"/>
    <w:rsid w:val="00425912"/>
    <w:rsid w:val="0043113F"/>
    <w:rsid w:val="004320A5"/>
    <w:rsid w:val="004327AC"/>
    <w:rsid w:val="0043729A"/>
    <w:rsid w:val="00444492"/>
    <w:rsid w:val="00445ABE"/>
    <w:rsid w:val="00451381"/>
    <w:rsid w:val="0046711B"/>
    <w:rsid w:val="00472913"/>
    <w:rsid w:val="00476774"/>
    <w:rsid w:val="00482D15"/>
    <w:rsid w:val="00490AAB"/>
    <w:rsid w:val="004919E2"/>
    <w:rsid w:val="00493D87"/>
    <w:rsid w:val="00495870"/>
    <w:rsid w:val="004A0286"/>
    <w:rsid w:val="004A1F7B"/>
    <w:rsid w:val="004A4340"/>
    <w:rsid w:val="004A6410"/>
    <w:rsid w:val="004B0B4D"/>
    <w:rsid w:val="004B3058"/>
    <w:rsid w:val="004B35C0"/>
    <w:rsid w:val="004C5CF7"/>
    <w:rsid w:val="004C70CF"/>
    <w:rsid w:val="004D0CE1"/>
    <w:rsid w:val="004D0F2B"/>
    <w:rsid w:val="004D5575"/>
    <w:rsid w:val="004E2A75"/>
    <w:rsid w:val="004E4BF9"/>
    <w:rsid w:val="004F5910"/>
    <w:rsid w:val="004F7FDF"/>
    <w:rsid w:val="005041E8"/>
    <w:rsid w:val="00504D41"/>
    <w:rsid w:val="00513B0C"/>
    <w:rsid w:val="005174F5"/>
    <w:rsid w:val="00522600"/>
    <w:rsid w:val="00522D68"/>
    <w:rsid w:val="00522DE1"/>
    <w:rsid w:val="00526AE9"/>
    <w:rsid w:val="00527BE2"/>
    <w:rsid w:val="00527DE1"/>
    <w:rsid w:val="0053420C"/>
    <w:rsid w:val="005374A8"/>
    <w:rsid w:val="00543EFF"/>
    <w:rsid w:val="00545A62"/>
    <w:rsid w:val="00561CC1"/>
    <w:rsid w:val="00563B9D"/>
    <w:rsid w:val="00566EEC"/>
    <w:rsid w:val="00571376"/>
    <w:rsid w:val="005757B9"/>
    <w:rsid w:val="00583AE8"/>
    <w:rsid w:val="0058421D"/>
    <w:rsid w:val="005947F8"/>
    <w:rsid w:val="00597B14"/>
    <w:rsid w:val="005A0BFA"/>
    <w:rsid w:val="005A34CE"/>
    <w:rsid w:val="005A5999"/>
    <w:rsid w:val="005B57CD"/>
    <w:rsid w:val="005C2539"/>
    <w:rsid w:val="005C5B61"/>
    <w:rsid w:val="005C6363"/>
    <w:rsid w:val="005D29B5"/>
    <w:rsid w:val="005D44B3"/>
    <w:rsid w:val="005E175C"/>
    <w:rsid w:val="006040E5"/>
    <w:rsid w:val="00604CDD"/>
    <w:rsid w:val="00607042"/>
    <w:rsid w:val="006157F8"/>
    <w:rsid w:val="00620F87"/>
    <w:rsid w:val="006251E4"/>
    <w:rsid w:val="006346B5"/>
    <w:rsid w:val="00637461"/>
    <w:rsid w:val="0064695C"/>
    <w:rsid w:val="00647737"/>
    <w:rsid w:val="00657973"/>
    <w:rsid w:val="00686632"/>
    <w:rsid w:val="00687F9B"/>
    <w:rsid w:val="006A2F21"/>
    <w:rsid w:val="006B0B9E"/>
    <w:rsid w:val="006B337E"/>
    <w:rsid w:val="006B3E01"/>
    <w:rsid w:val="006B3F48"/>
    <w:rsid w:val="006C1BA9"/>
    <w:rsid w:val="006C3806"/>
    <w:rsid w:val="006C61BA"/>
    <w:rsid w:val="006D3C6C"/>
    <w:rsid w:val="006E1A99"/>
    <w:rsid w:val="006F0451"/>
    <w:rsid w:val="006F0BBC"/>
    <w:rsid w:val="006F4E14"/>
    <w:rsid w:val="00711003"/>
    <w:rsid w:val="00712073"/>
    <w:rsid w:val="00712F84"/>
    <w:rsid w:val="00714150"/>
    <w:rsid w:val="00724972"/>
    <w:rsid w:val="007309C6"/>
    <w:rsid w:val="00733A79"/>
    <w:rsid w:val="00737ADE"/>
    <w:rsid w:val="00737F65"/>
    <w:rsid w:val="00740FD3"/>
    <w:rsid w:val="00741603"/>
    <w:rsid w:val="00752848"/>
    <w:rsid w:val="007567AD"/>
    <w:rsid w:val="00760BCE"/>
    <w:rsid w:val="00763A55"/>
    <w:rsid w:val="00764700"/>
    <w:rsid w:val="0076682D"/>
    <w:rsid w:val="00780B7C"/>
    <w:rsid w:val="00781AED"/>
    <w:rsid w:val="00782D43"/>
    <w:rsid w:val="007861E6"/>
    <w:rsid w:val="007A12B0"/>
    <w:rsid w:val="007B0E0E"/>
    <w:rsid w:val="007B0E44"/>
    <w:rsid w:val="007B11AE"/>
    <w:rsid w:val="007B286F"/>
    <w:rsid w:val="007B7E22"/>
    <w:rsid w:val="007D67CE"/>
    <w:rsid w:val="007E4FDB"/>
    <w:rsid w:val="007F4A4F"/>
    <w:rsid w:val="007F516A"/>
    <w:rsid w:val="008071BD"/>
    <w:rsid w:val="008114FE"/>
    <w:rsid w:val="008269EB"/>
    <w:rsid w:val="008319BD"/>
    <w:rsid w:val="008336DB"/>
    <w:rsid w:val="00835D7C"/>
    <w:rsid w:val="008422EB"/>
    <w:rsid w:val="0086570A"/>
    <w:rsid w:val="00875221"/>
    <w:rsid w:val="008817A1"/>
    <w:rsid w:val="008839AD"/>
    <w:rsid w:val="008840EF"/>
    <w:rsid w:val="008915B6"/>
    <w:rsid w:val="00891792"/>
    <w:rsid w:val="00892D9A"/>
    <w:rsid w:val="00894E73"/>
    <w:rsid w:val="00896632"/>
    <w:rsid w:val="008A03EC"/>
    <w:rsid w:val="008A3C47"/>
    <w:rsid w:val="008A472E"/>
    <w:rsid w:val="008A5E08"/>
    <w:rsid w:val="008C1039"/>
    <w:rsid w:val="008C6BC4"/>
    <w:rsid w:val="008E0C8C"/>
    <w:rsid w:val="008E691C"/>
    <w:rsid w:val="009027FF"/>
    <w:rsid w:val="00903D4F"/>
    <w:rsid w:val="00905B74"/>
    <w:rsid w:val="00910F85"/>
    <w:rsid w:val="0091303A"/>
    <w:rsid w:val="00924D77"/>
    <w:rsid w:val="009304E1"/>
    <w:rsid w:val="00951C63"/>
    <w:rsid w:val="009525E7"/>
    <w:rsid w:val="0095334B"/>
    <w:rsid w:val="00964A8A"/>
    <w:rsid w:val="0096719F"/>
    <w:rsid w:val="009776E6"/>
    <w:rsid w:val="009814A4"/>
    <w:rsid w:val="00985498"/>
    <w:rsid w:val="009873B5"/>
    <w:rsid w:val="009926B7"/>
    <w:rsid w:val="009A04F0"/>
    <w:rsid w:val="009A1ECF"/>
    <w:rsid w:val="009A245F"/>
    <w:rsid w:val="009A307C"/>
    <w:rsid w:val="009A5B34"/>
    <w:rsid w:val="009A732A"/>
    <w:rsid w:val="009B39AC"/>
    <w:rsid w:val="009B7B1E"/>
    <w:rsid w:val="009C243C"/>
    <w:rsid w:val="009C2B3E"/>
    <w:rsid w:val="009D16E5"/>
    <w:rsid w:val="009E2C21"/>
    <w:rsid w:val="009F5F2A"/>
    <w:rsid w:val="009F70C2"/>
    <w:rsid w:val="00A05F53"/>
    <w:rsid w:val="00A12938"/>
    <w:rsid w:val="00A15D74"/>
    <w:rsid w:val="00A22535"/>
    <w:rsid w:val="00A2451C"/>
    <w:rsid w:val="00A24706"/>
    <w:rsid w:val="00A26931"/>
    <w:rsid w:val="00A30A54"/>
    <w:rsid w:val="00A37CDF"/>
    <w:rsid w:val="00A40865"/>
    <w:rsid w:val="00A4293E"/>
    <w:rsid w:val="00A4350B"/>
    <w:rsid w:val="00A45AA5"/>
    <w:rsid w:val="00A5290F"/>
    <w:rsid w:val="00A7233F"/>
    <w:rsid w:val="00A725B2"/>
    <w:rsid w:val="00A72794"/>
    <w:rsid w:val="00A73DCB"/>
    <w:rsid w:val="00A7708F"/>
    <w:rsid w:val="00A8101B"/>
    <w:rsid w:val="00A82364"/>
    <w:rsid w:val="00A83EED"/>
    <w:rsid w:val="00A84B59"/>
    <w:rsid w:val="00A84E5F"/>
    <w:rsid w:val="00A909C1"/>
    <w:rsid w:val="00A9463A"/>
    <w:rsid w:val="00AA267C"/>
    <w:rsid w:val="00AB6401"/>
    <w:rsid w:val="00AC01E8"/>
    <w:rsid w:val="00AC6540"/>
    <w:rsid w:val="00AD47E3"/>
    <w:rsid w:val="00AD5E45"/>
    <w:rsid w:val="00AF349D"/>
    <w:rsid w:val="00AF361B"/>
    <w:rsid w:val="00AF4AE0"/>
    <w:rsid w:val="00B0029E"/>
    <w:rsid w:val="00B0771D"/>
    <w:rsid w:val="00B13D27"/>
    <w:rsid w:val="00B31B37"/>
    <w:rsid w:val="00B46596"/>
    <w:rsid w:val="00B47A16"/>
    <w:rsid w:val="00B534D1"/>
    <w:rsid w:val="00B60CD3"/>
    <w:rsid w:val="00B63236"/>
    <w:rsid w:val="00B637FA"/>
    <w:rsid w:val="00B66315"/>
    <w:rsid w:val="00B719EA"/>
    <w:rsid w:val="00B90E63"/>
    <w:rsid w:val="00B945EA"/>
    <w:rsid w:val="00B95ED9"/>
    <w:rsid w:val="00B96EB3"/>
    <w:rsid w:val="00BB4E77"/>
    <w:rsid w:val="00BB7710"/>
    <w:rsid w:val="00BC124C"/>
    <w:rsid w:val="00BC576E"/>
    <w:rsid w:val="00BD61E5"/>
    <w:rsid w:val="00BD6317"/>
    <w:rsid w:val="00BE52C9"/>
    <w:rsid w:val="00BE71FC"/>
    <w:rsid w:val="00BF7A8F"/>
    <w:rsid w:val="00C05CE9"/>
    <w:rsid w:val="00C106B6"/>
    <w:rsid w:val="00C1131F"/>
    <w:rsid w:val="00C17B11"/>
    <w:rsid w:val="00C221C1"/>
    <w:rsid w:val="00C356C5"/>
    <w:rsid w:val="00C374BB"/>
    <w:rsid w:val="00C40474"/>
    <w:rsid w:val="00C443FE"/>
    <w:rsid w:val="00C61482"/>
    <w:rsid w:val="00C66DA3"/>
    <w:rsid w:val="00C749A6"/>
    <w:rsid w:val="00C76FC4"/>
    <w:rsid w:val="00C77ACD"/>
    <w:rsid w:val="00C86BBC"/>
    <w:rsid w:val="00C91D36"/>
    <w:rsid w:val="00CA37E3"/>
    <w:rsid w:val="00CB1703"/>
    <w:rsid w:val="00CB39F7"/>
    <w:rsid w:val="00CC6636"/>
    <w:rsid w:val="00CC6DF9"/>
    <w:rsid w:val="00CD6D59"/>
    <w:rsid w:val="00CE3D05"/>
    <w:rsid w:val="00CF2975"/>
    <w:rsid w:val="00CF3653"/>
    <w:rsid w:val="00CF75E5"/>
    <w:rsid w:val="00D031D5"/>
    <w:rsid w:val="00D06D45"/>
    <w:rsid w:val="00D10906"/>
    <w:rsid w:val="00D22DD3"/>
    <w:rsid w:val="00D23333"/>
    <w:rsid w:val="00D3143D"/>
    <w:rsid w:val="00D32C28"/>
    <w:rsid w:val="00D332D5"/>
    <w:rsid w:val="00D35129"/>
    <w:rsid w:val="00D3515D"/>
    <w:rsid w:val="00D36F05"/>
    <w:rsid w:val="00D40065"/>
    <w:rsid w:val="00D4728A"/>
    <w:rsid w:val="00D52351"/>
    <w:rsid w:val="00D525F4"/>
    <w:rsid w:val="00D612CA"/>
    <w:rsid w:val="00D62003"/>
    <w:rsid w:val="00D62E04"/>
    <w:rsid w:val="00D62EB9"/>
    <w:rsid w:val="00D65DDF"/>
    <w:rsid w:val="00D7275F"/>
    <w:rsid w:val="00D72BB3"/>
    <w:rsid w:val="00D8273B"/>
    <w:rsid w:val="00D83A59"/>
    <w:rsid w:val="00D92760"/>
    <w:rsid w:val="00D9600C"/>
    <w:rsid w:val="00DA1E3A"/>
    <w:rsid w:val="00DB4241"/>
    <w:rsid w:val="00DB4D0A"/>
    <w:rsid w:val="00DC61A9"/>
    <w:rsid w:val="00DE30B9"/>
    <w:rsid w:val="00DF0203"/>
    <w:rsid w:val="00DF3E52"/>
    <w:rsid w:val="00DF466D"/>
    <w:rsid w:val="00DF663D"/>
    <w:rsid w:val="00DF7EAB"/>
    <w:rsid w:val="00E01A85"/>
    <w:rsid w:val="00E04373"/>
    <w:rsid w:val="00E1360B"/>
    <w:rsid w:val="00E15CB1"/>
    <w:rsid w:val="00E162CF"/>
    <w:rsid w:val="00E17334"/>
    <w:rsid w:val="00E26C57"/>
    <w:rsid w:val="00E32C6F"/>
    <w:rsid w:val="00E36DE8"/>
    <w:rsid w:val="00E405C9"/>
    <w:rsid w:val="00E40891"/>
    <w:rsid w:val="00E4472E"/>
    <w:rsid w:val="00E4744C"/>
    <w:rsid w:val="00E51016"/>
    <w:rsid w:val="00E5377D"/>
    <w:rsid w:val="00E53887"/>
    <w:rsid w:val="00E60531"/>
    <w:rsid w:val="00E74290"/>
    <w:rsid w:val="00E833E7"/>
    <w:rsid w:val="00E84B43"/>
    <w:rsid w:val="00E91361"/>
    <w:rsid w:val="00E942E3"/>
    <w:rsid w:val="00E951E4"/>
    <w:rsid w:val="00EA5CDD"/>
    <w:rsid w:val="00EB2FCC"/>
    <w:rsid w:val="00ED3CBA"/>
    <w:rsid w:val="00ED3D4C"/>
    <w:rsid w:val="00ED4349"/>
    <w:rsid w:val="00ED6292"/>
    <w:rsid w:val="00ED71E3"/>
    <w:rsid w:val="00EF0B68"/>
    <w:rsid w:val="00EF202E"/>
    <w:rsid w:val="00EF35D8"/>
    <w:rsid w:val="00F02D58"/>
    <w:rsid w:val="00F052F6"/>
    <w:rsid w:val="00F058A6"/>
    <w:rsid w:val="00F1627F"/>
    <w:rsid w:val="00F174CB"/>
    <w:rsid w:val="00F216B4"/>
    <w:rsid w:val="00F27285"/>
    <w:rsid w:val="00F31A91"/>
    <w:rsid w:val="00F47963"/>
    <w:rsid w:val="00F5152C"/>
    <w:rsid w:val="00F5376B"/>
    <w:rsid w:val="00F56933"/>
    <w:rsid w:val="00F61CB0"/>
    <w:rsid w:val="00F62763"/>
    <w:rsid w:val="00F659ED"/>
    <w:rsid w:val="00F65D0D"/>
    <w:rsid w:val="00F66701"/>
    <w:rsid w:val="00F72A52"/>
    <w:rsid w:val="00F74DB2"/>
    <w:rsid w:val="00F86E3E"/>
    <w:rsid w:val="00F87DEE"/>
    <w:rsid w:val="00F90D6C"/>
    <w:rsid w:val="00F93872"/>
    <w:rsid w:val="00FA0835"/>
    <w:rsid w:val="00FB6654"/>
    <w:rsid w:val="00FC3B17"/>
    <w:rsid w:val="00FD15F6"/>
    <w:rsid w:val="00FD3C51"/>
    <w:rsid w:val="00FE1A50"/>
    <w:rsid w:val="00FE64E5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体"/>
    <w:link w:val="a4"/>
    <w:qFormat/>
    <w:rsid w:val="005374A8"/>
    <w:rPr>
      <w:rFonts w:eastAsia="ＭＳ ゴシック"/>
      <w:sz w:val="20"/>
    </w:rPr>
  </w:style>
  <w:style w:type="character" w:customStyle="1" w:styleId="a4">
    <w:name w:val="ゴシック体 (文字)"/>
    <w:basedOn w:val="a0"/>
    <w:link w:val="a3"/>
    <w:rsid w:val="005374A8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A2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体"/>
    <w:link w:val="a4"/>
    <w:qFormat/>
    <w:rsid w:val="005374A8"/>
    <w:rPr>
      <w:rFonts w:eastAsia="ＭＳ ゴシック"/>
      <w:sz w:val="20"/>
    </w:rPr>
  </w:style>
  <w:style w:type="character" w:customStyle="1" w:styleId="a4">
    <w:name w:val="ゴシック体 (文字)"/>
    <w:basedOn w:val="a0"/>
    <w:link w:val="a3"/>
    <w:rsid w:val="005374A8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A2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</dc:creator>
  <cp:lastModifiedBy>user</cp:lastModifiedBy>
  <cp:revision>2</cp:revision>
  <dcterms:created xsi:type="dcterms:W3CDTF">2017-07-10T02:42:00Z</dcterms:created>
  <dcterms:modified xsi:type="dcterms:W3CDTF">2017-07-10T02:42:00Z</dcterms:modified>
</cp:coreProperties>
</file>